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FFC7E0" w14:textId="09CAB3B0" w:rsidR="00B04F83" w:rsidRPr="00EF3565" w:rsidRDefault="00B04F83" w:rsidP="00B04F8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w:t>
      </w:r>
      <w:r w:rsidR="00416C45">
        <w:rPr>
          <w:rFonts w:ascii="黑体" w:eastAsia="黑体" w:hAnsi="黑体"/>
          <w:sz w:val="24"/>
        </w:rPr>
        <w:t>10</w:t>
      </w:r>
      <w:r>
        <w:rPr>
          <w:rFonts w:ascii="黑体" w:eastAsia="黑体" w:hAnsi="黑体" w:hint="eastAsia"/>
          <w:sz w:val="24"/>
        </w:rPr>
        <w:t>号</w:t>
      </w:r>
    </w:p>
    <w:p w14:paraId="16386E6C" w14:textId="02882F18" w:rsidR="00A71D0B" w:rsidRDefault="00B04F83">
      <w:pPr>
        <w:spacing w:line="520" w:lineRule="exact"/>
        <w:jc w:val="center"/>
        <w:rPr>
          <w:rFonts w:ascii="黑体" w:eastAsia="黑体" w:hAnsi="黑体"/>
          <w:sz w:val="32"/>
          <w:szCs w:val="32"/>
        </w:rPr>
      </w:pPr>
      <w:r>
        <w:rPr>
          <w:rFonts w:ascii="黑体" w:eastAsia="黑体" w:hAnsi="黑体" w:hint="eastAsia"/>
          <w:sz w:val="32"/>
          <w:szCs w:val="32"/>
        </w:rPr>
        <w:t>宝业恒</w:t>
      </w:r>
      <w:r w:rsidR="00416C45">
        <w:rPr>
          <w:rFonts w:ascii="黑体" w:eastAsia="黑体" w:hAnsi="黑体" w:hint="eastAsia"/>
          <w:sz w:val="32"/>
          <w:szCs w:val="32"/>
        </w:rPr>
        <w:t>土地估价结果合理性分析工作规则</w:t>
      </w:r>
    </w:p>
    <w:p w14:paraId="0DF0F051" w14:textId="77777777" w:rsidR="00A71D0B" w:rsidRDefault="00A71D0B">
      <w:pPr>
        <w:spacing w:line="520" w:lineRule="exact"/>
        <w:ind w:firstLineChars="200" w:firstLine="560"/>
        <w:rPr>
          <w:rFonts w:ascii="宋体" w:eastAsia="宋体" w:hAnsi="宋体"/>
          <w:sz w:val="28"/>
          <w:szCs w:val="28"/>
        </w:rPr>
      </w:pPr>
    </w:p>
    <w:p w14:paraId="6F40070C" w14:textId="77777777" w:rsidR="00A71D0B" w:rsidRDefault="00B04F8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第一章 </w:t>
      </w:r>
      <w:r>
        <w:rPr>
          <w:rFonts w:ascii="黑体" w:eastAsia="黑体" w:hAnsi="黑体"/>
          <w:sz w:val="28"/>
          <w:szCs w:val="28"/>
        </w:rPr>
        <w:t xml:space="preserve"> </w:t>
      </w:r>
      <w:r>
        <w:rPr>
          <w:rFonts w:ascii="黑体" w:eastAsia="黑体" w:hAnsi="黑体" w:hint="eastAsia"/>
          <w:sz w:val="28"/>
          <w:szCs w:val="28"/>
        </w:rPr>
        <w:t>总则</w:t>
      </w:r>
    </w:p>
    <w:p w14:paraId="065B5D56" w14:textId="12295944"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w:t>
      </w:r>
      <w:r w:rsidR="00416C45">
        <w:rPr>
          <w:rFonts w:ascii="宋体" w:eastAsia="宋体" w:hAnsi="宋体" w:hint="eastAsia"/>
          <w:sz w:val="28"/>
          <w:szCs w:val="28"/>
        </w:rPr>
        <w:t>土地估价报告结果合理性分析</w:t>
      </w:r>
      <w:r>
        <w:rPr>
          <w:rFonts w:ascii="宋体" w:eastAsia="宋体" w:hAnsi="宋体" w:hint="eastAsia"/>
          <w:sz w:val="28"/>
          <w:szCs w:val="28"/>
        </w:rPr>
        <w:t>工作，</w:t>
      </w:r>
      <w:r w:rsidR="00416C45">
        <w:rPr>
          <w:rFonts w:ascii="宋体" w:eastAsia="宋体" w:hAnsi="宋体" w:hint="eastAsia"/>
          <w:sz w:val="28"/>
          <w:szCs w:val="28"/>
        </w:rPr>
        <w:t>增强土地估价结果可信度，</w:t>
      </w:r>
      <w:r>
        <w:rPr>
          <w:rFonts w:ascii="宋体" w:eastAsia="宋体" w:hAnsi="宋体" w:hint="eastAsia"/>
          <w:sz w:val="28"/>
          <w:szCs w:val="28"/>
        </w:rPr>
        <w:t>提高</w:t>
      </w:r>
      <w:r w:rsidR="00416C45">
        <w:rPr>
          <w:rFonts w:ascii="宋体" w:eastAsia="宋体" w:hAnsi="宋体" w:hint="eastAsia"/>
          <w:sz w:val="28"/>
          <w:szCs w:val="28"/>
        </w:rPr>
        <w:t>土地</w:t>
      </w:r>
      <w:r>
        <w:rPr>
          <w:rFonts w:ascii="宋体" w:eastAsia="宋体" w:hAnsi="宋体" w:hint="eastAsia"/>
          <w:sz w:val="28"/>
          <w:szCs w:val="28"/>
        </w:rPr>
        <w:t>报</w:t>
      </w:r>
      <w:r w:rsidR="00416C45">
        <w:rPr>
          <w:rFonts w:ascii="宋体" w:eastAsia="宋体" w:hAnsi="宋体" w:hint="eastAsia"/>
          <w:sz w:val="28"/>
          <w:szCs w:val="28"/>
        </w:rPr>
        <w:t>估价</w:t>
      </w:r>
      <w:r>
        <w:rPr>
          <w:rFonts w:ascii="宋体" w:eastAsia="宋体" w:hAnsi="宋体" w:hint="eastAsia"/>
          <w:sz w:val="28"/>
          <w:szCs w:val="28"/>
        </w:rPr>
        <w:t>告总体质量，制定本规则。</w:t>
      </w:r>
    </w:p>
    <w:p w14:paraId="7A185706" w14:textId="50FA341A" w:rsidR="00A71D0B" w:rsidRDefault="00416C45"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w:t>
      </w:r>
      <w:r w:rsidR="00B04F83">
        <w:rPr>
          <w:rFonts w:ascii="宋体" w:eastAsia="宋体" w:hAnsi="宋体" w:hint="eastAsia"/>
          <w:sz w:val="28"/>
          <w:szCs w:val="28"/>
        </w:rPr>
        <w:t>适用公司出具的所有土地估价报告的审核。</w:t>
      </w:r>
    </w:p>
    <w:p w14:paraId="29ADA648" w14:textId="55D04E66" w:rsidR="00416C45" w:rsidRDefault="00416C45"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土地估价报告估价结果后应对估价结果合理性进行分析。</w:t>
      </w:r>
    </w:p>
    <w:p w14:paraId="12CF7685" w14:textId="74AC6A53" w:rsidR="00A71D0B" w:rsidRDefault="00B04F8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第二章 </w:t>
      </w:r>
      <w:r>
        <w:rPr>
          <w:rFonts w:ascii="黑体" w:eastAsia="黑体" w:hAnsi="黑体"/>
          <w:sz w:val="28"/>
          <w:szCs w:val="28"/>
        </w:rPr>
        <w:t xml:space="preserve"> </w:t>
      </w:r>
      <w:r w:rsidR="00416C45">
        <w:rPr>
          <w:rFonts w:ascii="黑体" w:eastAsia="黑体" w:hAnsi="黑体" w:hint="eastAsia"/>
          <w:sz w:val="28"/>
          <w:szCs w:val="28"/>
        </w:rPr>
        <w:t>土地估价结果合理性分析内容</w:t>
      </w:r>
    </w:p>
    <w:p w14:paraId="3C02912D" w14:textId="1577EC23" w:rsidR="00A71D0B" w:rsidRDefault="00B04F8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416C45">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sidR="00416C45">
        <w:rPr>
          <w:rFonts w:ascii="宋体" w:eastAsia="宋体" w:hAnsi="宋体" w:hint="eastAsia"/>
          <w:sz w:val="28"/>
          <w:szCs w:val="28"/>
        </w:rPr>
        <w:t>土地估价结果报告合理性分析内容包括：</w:t>
      </w:r>
    </w:p>
    <w:p w14:paraId="2F660ABE" w14:textId="0B3D7D21" w:rsidR="00416C45" w:rsidRDefault="00D26848">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416C45">
        <w:rPr>
          <w:rFonts w:ascii="宋体" w:eastAsia="宋体" w:hAnsi="宋体" w:hint="eastAsia"/>
          <w:sz w:val="28"/>
          <w:szCs w:val="28"/>
        </w:rPr>
        <w:t>估价依据</w:t>
      </w:r>
      <w:r w:rsidR="009660DB">
        <w:rPr>
          <w:rFonts w:ascii="宋体" w:eastAsia="宋体" w:hAnsi="宋体" w:hint="eastAsia"/>
          <w:sz w:val="28"/>
          <w:szCs w:val="28"/>
        </w:rPr>
        <w:t>可靠</w:t>
      </w:r>
      <w:r w:rsidR="00416C45">
        <w:rPr>
          <w:rFonts w:ascii="宋体" w:eastAsia="宋体" w:hAnsi="宋体" w:hint="eastAsia"/>
          <w:sz w:val="28"/>
          <w:szCs w:val="28"/>
        </w:rPr>
        <w:t>性分析。</w:t>
      </w:r>
    </w:p>
    <w:p w14:paraId="4C590824" w14:textId="50D0D26B" w:rsidR="009660DB" w:rsidRPr="009660DB" w:rsidRDefault="00D26848">
      <w:pPr>
        <w:spacing w:line="520" w:lineRule="exact"/>
        <w:ind w:firstLineChars="200" w:firstLine="560"/>
        <w:rPr>
          <w:rFonts w:ascii="宋体" w:eastAsia="宋体" w:hAnsi="宋体"/>
          <w:sz w:val="28"/>
          <w:szCs w:val="28"/>
        </w:rPr>
      </w:pPr>
      <w:r>
        <w:rPr>
          <w:rFonts w:ascii="宋体" w:eastAsia="宋体" w:hAnsi="宋体"/>
          <w:sz w:val="28"/>
          <w:szCs w:val="28"/>
        </w:rPr>
        <w:t>1.</w:t>
      </w:r>
      <w:r w:rsidR="009660DB">
        <w:rPr>
          <w:rFonts w:ascii="宋体" w:eastAsia="宋体" w:hAnsi="宋体" w:hint="eastAsia"/>
          <w:sz w:val="28"/>
          <w:szCs w:val="28"/>
        </w:rPr>
        <w:t>技术路线分析。</w:t>
      </w:r>
    </w:p>
    <w:p w14:paraId="6E764F63" w14:textId="60D3346D" w:rsidR="00416C45" w:rsidRDefault="00D26848">
      <w:pPr>
        <w:spacing w:line="520" w:lineRule="exact"/>
        <w:ind w:firstLineChars="200" w:firstLine="560"/>
        <w:rPr>
          <w:rFonts w:ascii="宋体" w:eastAsia="宋体" w:hAnsi="宋体"/>
          <w:sz w:val="28"/>
          <w:szCs w:val="28"/>
        </w:rPr>
      </w:pPr>
      <w:r>
        <w:rPr>
          <w:rFonts w:ascii="宋体" w:eastAsia="宋体" w:hAnsi="宋体"/>
          <w:sz w:val="28"/>
          <w:szCs w:val="28"/>
        </w:rPr>
        <w:t>3.</w:t>
      </w:r>
      <w:r w:rsidR="00416C45">
        <w:rPr>
          <w:rFonts w:ascii="宋体" w:eastAsia="宋体" w:hAnsi="宋体" w:hint="eastAsia"/>
          <w:sz w:val="28"/>
          <w:szCs w:val="28"/>
        </w:rPr>
        <w:t>估价方法选用分析。</w:t>
      </w:r>
    </w:p>
    <w:p w14:paraId="6E7D2C53" w14:textId="6AD272EE" w:rsidR="00416C45" w:rsidRPr="00416C45" w:rsidRDefault="00D26848">
      <w:pPr>
        <w:spacing w:line="520" w:lineRule="exact"/>
        <w:ind w:firstLineChars="200" w:firstLine="560"/>
        <w:rPr>
          <w:rFonts w:ascii="宋体" w:eastAsia="宋体" w:hAnsi="宋体"/>
          <w:sz w:val="28"/>
          <w:szCs w:val="28"/>
        </w:rPr>
      </w:pPr>
      <w:r>
        <w:rPr>
          <w:rFonts w:ascii="宋体" w:eastAsia="宋体" w:hAnsi="宋体"/>
          <w:sz w:val="28"/>
          <w:szCs w:val="28"/>
        </w:rPr>
        <w:t>4.</w:t>
      </w:r>
      <w:r w:rsidR="00416C45">
        <w:rPr>
          <w:rFonts w:ascii="宋体" w:eastAsia="宋体" w:hAnsi="宋体" w:hint="eastAsia"/>
          <w:sz w:val="28"/>
          <w:szCs w:val="28"/>
        </w:rPr>
        <w:t>估价参数分析。</w:t>
      </w:r>
    </w:p>
    <w:p w14:paraId="1939695F" w14:textId="5EA772B7" w:rsidR="00416C45" w:rsidRDefault="00D26848">
      <w:pPr>
        <w:spacing w:line="520" w:lineRule="exact"/>
        <w:ind w:firstLineChars="200" w:firstLine="560"/>
        <w:rPr>
          <w:rFonts w:ascii="宋体" w:eastAsia="宋体" w:hAnsi="宋体"/>
          <w:sz w:val="28"/>
          <w:szCs w:val="28"/>
        </w:rPr>
      </w:pPr>
      <w:r>
        <w:rPr>
          <w:rFonts w:ascii="宋体" w:eastAsia="宋体" w:hAnsi="宋体"/>
          <w:sz w:val="28"/>
          <w:szCs w:val="28"/>
        </w:rPr>
        <w:t>5.</w:t>
      </w:r>
      <w:r w:rsidR="00416C45">
        <w:rPr>
          <w:rFonts w:ascii="宋体" w:eastAsia="宋体" w:hAnsi="宋体" w:hint="eastAsia"/>
          <w:sz w:val="28"/>
          <w:szCs w:val="28"/>
        </w:rPr>
        <w:t>与市场交易情况分析。</w:t>
      </w:r>
    </w:p>
    <w:p w14:paraId="438CA911" w14:textId="524C8285" w:rsidR="00416C45" w:rsidRDefault="00D26848">
      <w:pPr>
        <w:spacing w:line="520" w:lineRule="exact"/>
        <w:ind w:firstLineChars="200" w:firstLine="560"/>
        <w:rPr>
          <w:rFonts w:ascii="宋体" w:eastAsia="宋体" w:hAnsi="宋体"/>
          <w:sz w:val="28"/>
          <w:szCs w:val="28"/>
        </w:rPr>
      </w:pPr>
      <w:r>
        <w:rPr>
          <w:rFonts w:ascii="宋体" w:eastAsia="宋体" w:hAnsi="宋体"/>
          <w:sz w:val="28"/>
          <w:szCs w:val="28"/>
        </w:rPr>
        <w:t>6.</w:t>
      </w:r>
      <w:r w:rsidR="00416C45">
        <w:rPr>
          <w:rFonts w:ascii="宋体" w:eastAsia="宋体" w:hAnsi="宋体" w:hint="eastAsia"/>
          <w:sz w:val="28"/>
          <w:szCs w:val="28"/>
        </w:rPr>
        <w:t>与当地的基准地价水平分析。</w:t>
      </w:r>
    </w:p>
    <w:p w14:paraId="3B32C4E9" w14:textId="2C7DA360" w:rsidR="00416C45" w:rsidRPr="00416C45" w:rsidRDefault="00D26848">
      <w:pPr>
        <w:spacing w:line="520" w:lineRule="exact"/>
        <w:ind w:firstLineChars="200" w:firstLine="560"/>
        <w:rPr>
          <w:rFonts w:ascii="宋体" w:eastAsia="宋体" w:hAnsi="宋体"/>
          <w:sz w:val="28"/>
          <w:szCs w:val="28"/>
        </w:rPr>
      </w:pPr>
      <w:r>
        <w:rPr>
          <w:rFonts w:ascii="宋体" w:eastAsia="宋体" w:hAnsi="宋体"/>
          <w:sz w:val="28"/>
          <w:szCs w:val="28"/>
        </w:rPr>
        <w:t>7.</w:t>
      </w:r>
      <w:r w:rsidR="00416C45">
        <w:rPr>
          <w:rFonts w:ascii="宋体" w:eastAsia="宋体" w:hAnsi="宋体" w:hint="eastAsia"/>
          <w:sz w:val="28"/>
          <w:szCs w:val="28"/>
        </w:rPr>
        <w:t>不同估价方法结果比较分析。</w:t>
      </w:r>
    </w:p>
    <w:p w14:paraId="65A7DC13" w14:textId="183E88B7" w:rsidR="00416C45" w:rsidRDefault="00416C45"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估价依据</w:t>
      </w:r>
      <w:r w:rsidR="009660DB">
        <w:rPr>
          <w:rFonts w:ascii="宋体" w:eastAsia="宋体" w:hAnsi="宋体" w:hint="eastAsia"/>
          <w:sz w:val="28"/>
          <w:szCs w:val="28"/>
        </w:rPr>
        <w:t>可靠性</w:t>
      </w:r>
      <w:r>
        <w:rPr>
          <w:rFonts w:ascii="宋体" w:eastAsia="宋体" w:hAnsi="宋体" w:hint="eastAsia"/>
          <w:sz w:val="28"/>
          <w:szCs w:val="28"/>
        </w:rPr>
        <w:t>分析。应根据估价对象情况和估价依据说明估价依据合法、可行。</w:t>
      </w:r>
      <w:r w:rsidR="009A4E42">
        <w:rPr>
          <w:rFonts w:ascii="宋体" w:eastAsia="宋体" w:hAnsi="宋体" w:hint="eastAsia"/>
          <w:sz w:val="28"/>
          <w:szCs w:val="28"/>
        </w:rPr>
        <w:t>可参考的描述为：</w:t>
      </w:r>
    </w:p>
    <w:p w14:paraId="13A9D8D9" w14:textId="70D5328A" w:rsidR="00416C45" w:rsidRDefault="009A4E42"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①</w:t>
      </w:r>
      <w:r w:rsidR="00416C45">
        <w:rPr>
          <w:rFonts w:ascii="宋体" w:eastAsia="宋体" w:hAnsi="宋体" w:hint="eastAsia"/>
          <w:sz w:val="28"/>
          <w:szCs w:val="28"/>
        </w:rPr>
        <w:t>本次估价依据的国家</w:t>
      </w:r>
      <w:r>
        <w:rPr>
          <w:rFonts w:ascii="宋体" w:eastAsia="宋体" w:hAnsi="宋体" w:hint="eastAsia"/>
          <w:sz w:val="28"/>
          <w:szCs w:val="28"/>
        </w:rPr>
        <w:t>和地方</w:t>
      </w:r>
      <w:r w:rsidR="00416C45">
        <w:rPr>
          <w:rFonts w:ascii="宋体" w:eastAsia="宋体" w:hAnsi="宋体" w:hint="eastAsia"/>
          <w:sz w:val="28"/>
          <w:szCs w:val="28"/>
        </w:rPr>
        <w:t>有关法律法规</w:t>
      </w:r>
      <w:r>
        <w:rPr>
          <w:rFonts w:ascii="宋体" w:eastAsia="宋体" w:hAnsi="宋体" w:hint="eastAsia"/>
          <w:sz w:val="28"/>
          <w:szCs w:val="28"/>
        </w:rPr>
        <w:t>和技术标准均为现行法规和标准，全部具有适用性，依据可靠。</w:t>
      </w:r>
    </w:p>
    <w:p w14:paraId="799C1B3D" w14:textId="2A0BC55D" w:rsidR="009A4E42" w:rsidRDefault="009A4E42"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②本次估价依据的国家和地方有关法律法规、军队房地产管理的相关文件和技术标准均为现行法规和标准，全部具有适用性，依据可靠。</w:t>
      </w:r>
    </w:p>
    <w:p w14:paraId="209F5934" w14:textId="2543802D" w:rsidR="009660DB" w:rsidRDefault="009660DB"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技术路线分析。应说明技术路线与价值类型匹配。可参考的描述为：</w:t>
      </w:r>
    </w:p>
    <w:p w14:paraId="29990EAC" w14:textId="5DF04BDE" w:rsidR="009660DB" w:rsidRPr="009660DB" w:rsidRDefault="009660DB" w:rsidP="009660DB">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①</w:t>
      </w:r>
      <w:r w:rsidRPr="009660DB">
        <w:rPr>
          <w:rFonts w:ascii="宋体" w:eastAsia="宋体" w:hAnsi="宋体" w:hint="eastAsia"/>
          <w:sz w:val="28"/>
          <w:szCs w:val="28"/>
        </w:rPr>
        <w:t>本次估价价值类型为抵押价值，其中抵押价值为假定未设立法定优先受偿权下的价值减去估价师知悉的法定优先受偿款数额后的价值。本次估价采用先评估假定未设立法定优先受偿权下的价值基础上</w:t>
      </w:r>
      <w:r>
        <w:rPr>
          <w:rFonts w:ascii="宋体" w:eastAsia="宋体" w:hAnsi="宋体" w:hint="eastAsia"/>
          <w:sz w:val="28"/>
          <w:szCs w:val="28"/>
        </w:rPr>
        <w:t>，再评估估价师知悉的法定优先受偿款数额，相减后确定估价对象抵押价值。技术路线合理，不会影响正常的估价结果。</w:t>
      </w:r>
    </w:p>
    <w:p w14:paraId="261E672C" w14:textId="02D5175D" w:rsidR="009660DB" w:rsidRDefault="009660DB"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②本次估价价值为</w:t>
      </w:r>
      <w:r w:rsidR="001B6FDA">
        <w:rPr>
          <w:rFonts w:ascii="宋体" w:eastAsia="宋体" w:hAnsi="宋体" w:hint="eastAsia"/>
          <w:sz w:val="28"/>
          <w:szCs w:val="28"/>
        </w:rPr>
        <w:t>土地征收成本价值。</w:t>
      </w:r>
      <w:r w:rsidR="00F15C2F">
        <w:rPr>
          <w:rFonts w:ascii="宋体" w:eastAsia="宋体" w:hAnsi="宋体" w:hint="eastAsia"/>
          <w:sz w:val="28"/>
          <w:szCs w:val="28"/>
        </w:rPr>
        <w:t>本次估价按照征地成本构成按照土地取得成本、相关税费、征地服务费分别进行了评估，依据来源可靠。其中，本次估价征地后为军事用地，耕地占用税为免征，估价中确定为0元。技术路线合理，不会影响正常的估价结果。</w:t>
      </w:r>
    </w:p>
    <w:p w14:paraId="21C33206" w14:textId="44F9E1AD" w:rsidR="00F15C2F" w:rsidRDefault="00F15C2F"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③本次估价价值为土地征收成本价值。本次估价按照征地成本构成按照土地取得成本、相关税费、征地服务费分别进行了评估，依据来源可靠。其中，本次估价征地后为军队所有，土地性质不变，耕地占用税为免征，估价中确定为0元，耕地开垦费或耕地占补平衡指标费为0元。技术路线合理，不会影响正常的估价结果。</w:t>
      </w:r>
    </w:p>
    <w:p w14:paraId="73B2ABC7" w14:textId="4C1D965E" w:rsidR="00416C45" w:rsidRDefault="00416C45"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9660DB">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估价方法选用分析</w:t>
      </w:r>
      <w:r w:rsidR="009A4E42">
        <w:rPr>
          <w:rFonts w:ascii="宋体" w:eastAsia="宋体" w:hAnsi="宋体" w:hint="eastAsia"/>
          <w:sz w:val="28"/>
          <w:szCs w:val="28"/>
        </w:rPr>
        <w:t>。应说明估价方法和估价对象的匹配性，估价方法适宜估价对象和估价目的。可参考的描述为：</w:t>
      </w:r>
    </w:p>
    <w:p w14:paraId="55E9EF68" w14:textId="400A62ED" w:rsidR="009A4E42" w:rsidRDefault="009A4E42"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本次估价选用的估价方法均为《城镇土地估价规程》规定的估价方法，估价方法的选择和估价对象及同类对象市场的状况经过估价方法选择分析是适应的，能够满足本次估价目的的需要。估价方法选择适宜，</w:t>
      </w:r>
      <w:r w:rsidR="009660DB">
        <w:rPr>
          <w:rFonts w:ascii="宋体" w:eastAsia="宋体" w:hAnsi="宋体" w:hint="eastAsia"/>
          <w:sz w:val="28"/>
          <w:szCs w:val="28"/>
        </w:rPr>
        <w:t>估价方法的适用也符合《城镇土地估价规程》的要求，</w:t>
      </w:r>
      <w:r>
        <w:rPr>
          <w:rFonts w:ascii="宋体" w:eastAsia="宋体" w:hAnsi="宋体" w:hint="eastAsia"/>
          <w:sz w:val="28"/>
          <w:szCs w:val="28"/>
        </w:rPr>
        <w:t>不会对估价结果产生</w:t>
      </w:r>
      <w:r w:rsidR="009660DB">
        <w:rPr>
          <w:rFonts w:ascii="宋体" w:eastAsia="宋体" w:hAnsi="宋体" w:hint="eastAsia"/>
          <w:sz w:val="28"/>
          <w:szCs w:val="28"/>
        </w:rPr>
        <w:t>不利</w:t>
      </w:r>
      <w:r>
        <w:rPr>
          <w:rFonts w:ascii="宋体" w:eastAsia="宋体" w:hAnsi="宋体" w:hint="eastAsia"/>
          <w:sz w:val="28"/>
          <w:szCs w:val="28"/>
        </w:rPr>
        <w:t>影响。</w:t>
      </w:r>
    </w:p>
    <w:p w14:paraId="2874E5A9" w14:textId="23D351BA" w:rsidR="00416C45" w:rsidRDefault="00416C45"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EC311E">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估价参数分析</w:t>
      </w:r>
      <w:r w:rsidR="009A4E42">
        <w:rPr>
          <w:rFonts w:ascii="宋体" w:eastAsia="宋体" w:hAnsi="宋体" w:hint="eastAsia"/>
          <w:sz w:val="28"/>
          <w:szCs w:val="28"/>
        </w:rPr>
        <w:t>。</w:t>
      </w:r>
      <w:r w:rsidR="009660DB">
        <w:rPr>
          <w:rFonts w:ascii="宋体" w:eastAsia="宋体" w:hAnsi="宋体" w:hint="eastAsia"/>
          <w:sz w:val="28"/>
          <w:szCs w:val="28"/>
        </w:rPr>
        <w:t>应说明选择的参数客观、公正、合理，与市场吻合，参数使用正确，参数选择和使用不会对结果产生不利影响。</w:t>
      </w:r>
      <w:r w:rsidR="004919CF">
        <w:rPr>
          <w:rFonts w:ascii="宋体" w:eastAsia="宋体" w:hAnsi="宋体" w:hint="eastAsia"/>
          <w:sz w:val="28"/>
          <w:szCs w:val="28"/>
        </w:rPr>
        <w:t>可参考的描述为：</w:t>
      </w:r>
    </w:p>
    <w:p w14:paraId="25962916" w14:textId="7AFB0498" w:rsidR="00416C45" w:rsidRPr="00416C45" w:rsidRDefault="004919CF"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估价中选用的数据中部分来源于政府相关文件、公开公布的数据，其</w:t>
      </w:r>
      <w:r>
        <w:rPr>
          <w:rFonts w:ascii="宋体" w:eastAsia="宋体" w:hAnsi="宋体" w:hint="eastAsia"/>
          <w:sz w:val="28"/>
          <w:szCs w:val="28"/>
        </w:rPr>
        <w:lastRenderedPageBreak/>
        <w:t>他数据来源于估价师市场调研结果，数据来源可靠，能够反映市场情况；估价测算按照《城镇土地估价规程》规定的方法的测算过程，数据参数运用符合《城镇土地估价规程》要求，不会对估价结果产生不利影响。</w:t>
      </w:r>
    </w:p>
    <w:p w14:paraId="279B3B52" w14:textId="7F5F00E9" w:rsidR="00416C45" w:rsidRDefault="00416C45"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EC311E">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与市场交易情况分析</w:t>
      </w:r>
      <w:r w:rsidR="004919CF">
        <w:rPr>
          <w:rFonts w:ascii="宋体" w:eastAsia="宋体" w:hAnsi="宋体" w:hint="eastAsia"/>
          <w:sz w:val="28"/>
          <w:szCs w:val="28"/>
        </w:rPr>
        <w:t>。应说明估价结果是否反映市场水平；如果有差异说明差异产生的原因。可参考的描述为：</w:t>
      </w:r>
    </w:p>
    <w:p w14:paraId="122A76B4" w14:textId="61868BB9" w:rsidR="00416C45" w:rsidRDefault="004919CF"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①估价结果估价对象评估价值为</w:t>
      </w:r>
      <w:r w:rsidR="00EC311E">
        <w:rPr>
          <w:rFonts w:ascii="宋体" w:eastAsia="宋体" w:hAnsi="宋体" w:hint="eastAsia"/>
          <w:sz w:val="28"/>
          <w:szCs w:val="28"/>
        </w:rPr>
        <w:t>××</w:t>
      </w:r>
      <w:r>
        <w:rPr>
          <w:rFonts w:ascii="宋体" w:eastAsia="宋体" w:hAnsi="宋体" w:hint="eastAsia"/>
          <w:sz w:val="28"/>
          <w:szCs w:val="28"/>
        </w:rPr>
        <w:t>元/平方米，同类型案例成交价格均价为</w:t>
      </w:r>
      <w:r w:rsidR="00EC311E">
        <w:rPr>
          <w:rFonts w:ascii="宋体" w:eastAsia="宋体" w:hAnsi="宋体" w:hint="eastAsia"/>
          <w:sz w:val="28"/>
          <w:szCs w:val="28"/>
        </w:rPr>
        <w:t>××</w:t>
      </w:r>
      <w:r>
        <w:rPr>
          <w:rFonts w:ascii="宋体" w:eastAsia="宋体" w:hAnsi="宋体" w:hint="eastAsia"/>
          <w:sz w:val="28"/>
          <w:szCs w:val="28"/>
        </w:rPr>
        <w:t>元/平方米，二者差距为</w:t>
      </w:r>
      <w:r w:rsidR="00EC311E">
        <w:rPr>
          <w:rFonts w:ascii="宋体" w:eastAsia="宋体" w:hAnsi="宋体" w:hint="eastAsia"/>
          <w:sz w:val="28"/>
          <w:szCs w:val="28"/>
        </w:rPr>
        <w:t>××</w:t>
      </w:r>
      <w:r>
        <w:rPr>
          <w:rFonts w:ascii="宋体" w:eastAsia="宋体" w:hAnsi="宋体"/>
          <w:sz w:val="28"/>
          <w:szCs w:val="28"/>
        </w:rPr>
        <w:t>%</w:t>
      </w:r>
      <w:r>
        <w:rPr>
          <w:rFonts w:ascii="宋体" w:eastAsia="宋体" w:hAnsi="宋体" w:hint="eastAsia"/>
          <w:sz w:val="28"/>
          <w:szCs w:val="28"/>
        </w:rPr>
        <w:t>，估价结果与市场价值接近，与市场交易情况吻合。</w:t>
      </w:r>
    </w:p>
    <w:p w14:paraId="204F31D6" w14:textId="39583832" w:rsidR="004919CF" w:rsidRDefault="004919CF" w:rsidP="004919CF">
      <w:pPr>
        <w:spacing w:line="520" w:lineRule="exact"/>
        <w:ind w:firstLineChars="200" w:firstLine="560"/>
        <w:rPr>
          <w:rFonts w:ascii="宋体" w:eastAsia="宋体" w:hAnsi="宋体"/>
          <w:sz w:val="28"/>
          <w:szCs w:val="28"/>
        </w:rPr>
      </w:pPr>
      <w:r>
        <w:rPr>
          <w:rFonts w:ascii="宋体" w:eastAsia="宋体" w:hAnsi="宋体" w:hint="eastAsia"/>
          <w:sz w:val="28"/>
          <w:szCs w:val="28"/>
        </w:rPr>
        <w:t>②估价结果估价对象评估价值为</w:t>
      </w:r>
      <w:r w:rsidR="00EC311E">
        <w:rPr>
          <w:rFonts w:ascii="宋体" w:eastAsia="宋体" w:hAnsi="宋体" w:hint="eastAsia"/>
          <w:sz w:val="28"/>
          <w:szCs w:val="28"/>
        </w:rPr>
        <w:t>××</w:t>
      </w:r>
      <w:r>
        <w:rPr>
          <w:rFonts w:ascii="宋体" w:eastAsia="宋体" w:hAnsi="宋体" w:hint="eastAsia"/>
          <w:sz w:val="28"/>
          <w:szCs w:val="28"/>
        </w:rPr>
        <w:t>元/平方米，同类型案例成交价格均价为</w:t>
      </w:r>
      <w:r w:rsidR="00EC311E">
        <w:rPr>
          <w:rFonts w:ascii="宋体" w:eastAsia="宋体" w:hAnsi="宋体" w:hint="eastAsia"/>
          <w:sz w:val="28"/>
          <w:szCs w:val="28"/>
        </w:rPr>
        <w:t>××</w:t>
      </w:r>
      <w:r>
        <w:rPr>
          <w:rFonts w:ascii="宋体" w:eastAsia="宋体" w:hAnsi="宋体" w:hint="eastAsia"/>
          <w:sz w:val="28"/>
          <w:szCs w:val="28"/>
        </w:rPr>
        <w:t>元/平方米，二者差距为</w:t>
      </w:r>
      <w:r w:rsidR="00EC311E">
        <w:rPr>
          <w:rFonts w:ascii="宋体" w:eastAsia="宋体" w:hAnsi="宋体" w:hint="eastAsia"/>
          <w:sz w:val="28"/>
          <w:szCs w:val="28"/>
        </w:rPr>
        <w:t>××</w:t>
      </w:r>
      <w:r>
        <w:rPr>
          <w:rFonts w:ascii="宋体" w:eastAsia="宋体" w:hAnsi="宋体"/>
          <w:sz w:val="28"/>
          <w:szCs w:val="28"/>
        </w:rPr>
        <w:t>%</w:t>
      </w:r>
      <w:r>
        <w:rPr>
          <w:rFonts w:ascii="宋体" w:eastAsia="宋体" w:hAnsi="宋体" w:hint="eastAsia"/>
          <w:sz w:val="28"/>
          <w:szCs w:val="28"/>
        </w:rPr>
        <w:t>，估价结果与市场价值接大。经过市场调查与分析，估价对象所在城市土地市场往往为土地一、二级市场联动，出让价格偏低，估价结果能够真实反映估价对象价值。</w:t>
      </w:r>
    </w:p>
    <w:p w14:paraId="093F71BD" w14:textId="4D347277" w:rsidR="00416C45" w:rsidRDefault="00416C45"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EC311E">
        <w:rPr>
          <w:rFonts w:ascii="宋体" w:eastAsia="宋体" w:hAnsi="宋体" w:hint="eastAsia"/>
          <w:sz w:val="28"/>
          <w:szCs w:val="28"/>
        </w:rPr>
        <w:t>十</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与当地的基准地价水平分析</w:t>
      </w:r>
      <w:r w:rsidR="004919CF">
        <w:rPr>
          <w:rFonts w:ascii="宋体" w:eastAsia="宋体" w:hAnsi="宋体" w:hint="eastAsia"/>
          <w:sz w:val="28"/>
          <w:szCs w:val="28"/>
        </w:rPr>
        <w:t>。应与基准地价水平比较，说明与基准地价吻合程度，产生差异的原因。可参考的描述为：</w:t>
      </w:r>
    </w:p>
    <w:p w14:paraId="5571B8CC" w14:textId="3989BEC5" w:rsidR="004919CF" w:rsidRPr="004919CF" w:rsidRDefault="004919CF" w:rsidP="004919CF">
      <w:pPr>
        <w:spacing w:line="520" w:lineRule="exact"/>
        <w:ind w:firstLineChars="200" w:firstLine="560"/>
        <w:rPr>
          <w:rFonts w:ascii="宋体" w:eastAsia="宋体" w:hAnsi="宋体"/>
          <w:sz w:val="28"/>
          <w:szCs w:val="28"/>
        </w:rPr>
      </w:pPr>
      <w:r>
        <w:rPr>
          <w:rFonts w:ascii="宋体" w:eastAsia="宋体" w:hAnsi="宋体" w:hint="eastAsia"/>
          <w:sz w:val="28"/>
          <w:szCs w:val="28"/>
        </w:rPr>
        <w:t>①</w:t>
      </w:r>
      <w:r w:rsidRPr="004919CF">
        <w:rPr>
          <w:rFonts w:ascii="宋体" w:eastAsia="宋体" w:hAnsi="宋体" w:hint="eastAsia"/>
          <w:sz w:val="28"/>
          <w:szCs w:val="28"/>
        </w:rPr>
        <w:t>估价结果估价对象评估价值为</w:t>
      </w:r>
      <w:r w:rsidR="00EC311E">
        <w:rPr>
          <w:rFonts w:ascii="宋体" w:eastAsia="宋体" w:hAnsi="宋体" w:hint="eastAsia"/>
          <w:sz w:val="28"/>
          <w:szCs w:val="28"/>
        </w:rPr>
        <w:t>××</w:t>
      </w:r>
      <w:r w:rsidRPr="004919CF">
        <w:rPr>
          <w:rFonts w:ascii="宋体" w:eastAsia="宋体" w:hAnsi="宋体" w:hint="eastAsia"/>
          <w:sz w:val="28"/>
          <w:szCs w:val="28"/>
        </w:rPr>
        <w:t>元/平方米，同类型</w:t>
      </w:r>
      <w:r>
        <w:rPr>
          <w:rFonts w:ascii="宋体" w:eastAsia="宋体" w:hAnsi="宋体" w:hint="eastAsia"/>
          <w:sz w:val="28"/>
          <w:szCs w:val="28"/>
        </w:rPr>
        <w:t>同级别</w:t>
      </w:r>
      <w:r w:rsidRPr="004919CF">
        <w:rPr>
          <w:rFonts w:ascii="宋体" w:eastAsia="宋体" w:hAnsi="宋体" w:hint="eastAsia"/>
          <w:sz w:val="28"/>
          <w:szCs w:val="28"/>
        </w:rPr>
        <w:t>基准地价为</w:t>
      </w:r>
      <w:r w:rsidR="00EC311E">
        <w:rPr>
          <w:rFonts w:ascii="宋体" w:eastAsia="宋体" w:hAnsi="宋体" w:hint="eastAsia"/>
          <w:sz w:val="28"/>
          <w:szCs w:val="28"/>
        </w:rPr>
        <w:t>××</w:t>
      </w:r>
      <w:r w:rsidRPr="004919CF">
        <w:rPr>
          <w:rFonts w:ascii="宋体" w:eastAsia="宋体" w:hAnsi="宋体" w:hint="eastAsia"/>
          <w:sz w:val="28"/>
          <w:szCs w:val="28"/>
        </w:rPr>
        <w:t>元/平方米，二者差距为</w:t>
      </w:r>
      <w:r w:rsidR="00EC311E">
        <w:rPr>
          <w:rFonts w:ascii="宋体" w:eastAsia="宋体" w:hAnsi="宋体" w:hint="eastAsia"/>
          <w:sz w:val="28"/>
          <w:szCs w:val="28"/>
        </w:rPr>
        <w:t>××</w:t>
      </w:r>
      <w:r w:rsidRPr="004919CF">
        <w:rPr>
          <w:rFonts w:ascii="宋体" w:eastAsia="宋体" w:hAnsi="宋体"/>
          <w:sz w:val="28"/>
          <w:szCs w:val="28"/>
        </w:rPr>
        <w:t>%</w:t>
      </w:r>
      <w:r w:rsidRPr="004919CF">
        <w:rPr>
          <w:rFonts w:ascii="宋体" w:eastAsia="宋体" w:hAnsi="宋体" w:hint="eastAsia"/>
          <w:sz w:val="28"/>
          <w:szCs w:val="28"/>
        </w:rPr>
        <w:t>，估价结果与基准地价接近，与市场交易情况吻合。</w:t>
      </w:r>
    </w:p>
    <w:p w14:paraId="06CB46F3" w14:textId="75A2322D" w:rsidR="004919CF" w:rsidRDefault="004919CF" w:rsidP="004919CF">
      <w:pPr>
        <w:spacing w:line="520" w:lineRule="exact"/>
        <w:ind w:firstLineChars="200" w:firstLine="560"/>
        <w:rPr>
          <w:rFonts w:ascii="宋体" w:eastAsia="宋体" w:hAnsi="宋体"/>
          <w:sz w:val="28"/>
          <w:szCs w:val="28"/>
        </w:rPr>
      </w:pPr>
      <w:r>
        <w:rPr>
          <w:rFonts w:ascii="宋体" w:eastAsia="宋体" w:hAnsi="宋体" w:hint="eastAsia"/>
          <w:sz w:val="28"/>
          <w:szCs w:val="28"/>
        </w:rPr>
        <w:t>②估价结果估价对象评估价值为</w:t>
      </w:r>
      <w:r w:rsidR="00EC311E">
        <w:rPr>
          <w:rFonts w:ascii="宋体" w:eastAsia="宋体" w:hAnsi="宋体" w:hint="eastAsia"/>
          <w:sz w:val="28"/>
          <w:szCs w:val="28"/>
        </w:rPr>
        <w:t>××</w:t>
      </w:r>
      <w:r>
        <w:rPr>
          <w:rFonts w:ascii="宋体" w:eastAsia="宋体" w:hAnsi="宋体" w:hint="eastAsia"/>
          <w:sz w:val="28"/>
          <w:szCs w:val="28"/>
        </w:rPr>
        <w:t>元/平方米，同类型同级别基准地价为</w:t>
      </w:r>
      <w:r w:rsidR="00EC311E">
        <w:rPr>
          <w:rFonts w:ascii="宋体" w:eastAsia="宋体" w:hAnsi="宋体" w:hint="eastAsia"/>
          <w:sz w:val="28"/>
          <w:szCs w:val="28"/>
        </w:rPr>
        <w:t>××</w:t>
      </w:r>
      <w:r>
        <w:rPr>
          <w:rFonts w:ascii="宋体" w:eastAsia="宋体" w:hAnsi="宋体" w:hint="eastAsia"/>
          <w:sz w:val="28"/>
          <w:szCs w:val="28"/>
        </w:rPr>
        <w:t>元/平方米，二者差距为</w:t>
      </w:r>
      <w:r w:rsidR="00EC311E">
        <w:rPr>
          <w:rFonts w:ascii="宋体" w:eastAsia="宋体" w:hAnsi="宋体" w:hint="eastAsia"/>
          <w:sz w:val="28"/>
          <w:szCs w:val="28"/>
        </w:rPr>
        <w:t>××</w:t>
      </w:r>
      <w:r>
        <w:rPr>
          <w:rFonts w:ascii="宋体" w:eastAsia="宋体" w:hAnsi="宋体"/>
          <w:sz w:val="28"/>
          <w:szCs w:val="28"/>
        </w:rPr>
        <w:t>%</w:t>
      </w:r>
      <w:r>
        <w:rPr>
          <w:rFonts w:ascii="宋体" w:eastAsia="宋体" w:hAnsi="宋体" w:hint="eastAsia"/>
          <w:sz w:val="28"/>
          <w:szCs w:val="28"/>
        </w:rPr>
        <w:t>，估价结果与基准地价差距接大。经过市场调查与分析，估价对象所在城市发展速度较快，G</w:t>
      </w:r>
      <w:r>
        <w:rPr>
          <w:rFonts w:ascii="宋体" w:eastAsia="宋体" w:hAnsi="宋体"/>
          <w:sz w:val="28"/>
          <w:szCs w:val="28"/>
        </w:rPr>
        <w:t>DP</w:t>
      </w:r>
      <w:r>
        <w:rPr>
          <w:rFonts w:ascii="宋体" w:eastAsia="宋体" w:hAnsi="宋体" w:hint="eastAsia"/>
          <w:sz w:val="28"/>
          <w:szCs w:val="28"/>
        </w:rPr>
        <w:t>年增长率为</w:t>
      </w:r>
      <w:r w:rsidR="00EC311E">
        <w:rPr>
          <w:rFonts w:ascii="宋体" w:eastAsia="宋体" w:hAnsi="宋体" w:hint="eastAsia"/>
          <w:sz w:val="28"/>
          <w:szCs w:val="28"/>
        </w:rPr>
        <w:t>××</w:t>
      </w:r>
      <w:r>
        <w:rPr>
          <w:rFonts w:ascii="宋体" w:eastAsia="宋体" w:hAnsi="宋体"/>
          <w:sz w:val="28"/>
          <w:szCs w:val="28"/>
        </w:rPr>
        <w:t>%</w:t>
      </w:r>
      <w:r>
        <w:rPr>
          <w:rFonts w:ascii="宋体" w:eastAsia="宋体" w:hAnsi="宋体" w:hint="eastAsia"/>
          <w:sz w:val="28"/>
          <w:szCs w:val="28"/>
        </w:rPr>
        <w:t>，房地产价格年增长率为</w:t>
      </w:r>
      <w:r w:rsidR="00EC311E">
        <w:rPr>
          <w:rFonts w:ascii="宋体" w:eastAsia="宋体" w:hAnsi="宋体" w:hint="eastAsia"/>
          <w:sz w:val="28"/>
          <w:szCs w:val="28"/>
        </w:rPr>
        <w:t>××</w:t>
      </w:r>
      <w:r>
        <w:rPr>
          <w:rFonts w:ascii="宋体" w:eastAsia="宋体" w:hAnsi="宋体"/>
          <w:sz w:val="28"/>
          <w:szCs w:val="28"/>
        </w:rPr>
        <w:t>%</w:t>
      </w:r>
      <w:r>
        <w:rPr>
          <w:rFonts w:ascii="宋体" w:eastAsia="宋体" w:hAnsi="宋体" w:hint="eastAsia"/>
          <w:sz w:val="28"/>
          <w:szCs w:val="28"/>
        </w:rPr>
        <w:t>，带动了地价的增长，二者的差距反映了客观的市场变化，估价结果能够真实反映估价对象价值。</w:t>
      </w:r>
    </w:p>
    <w:p w14:paraId="61FB14EF" w14:textId="0B5525CA" w:rsidR="00416C45" w:rsidRDefault="00416C45"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EC311E">
        <w:rPr>
          <w:rFonts w:ascii="宋体" w:eastAsia="宋体" w:hAnsi="宋体" w:hint="eastAsia"/>
          <w:sz w:val="28"/>
          <w:szCs w:val="28"/>
        </w:rPr>
        <w:t>一</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不同估价方法结果比较分析</w:t>
      </w:r>
      <w:r w:rsidR="004919CF">
        <w:rPr>
          <w:rFonts w:ascii="宋体" w:eastAsia="宋体" w:hAnsi="宋体" w:hint="eastAsia"/>
          <w:sz w:val="28"/>
          <w:szCs w:val="28"/>
        </w:rPr>
        <w:t>。应结合不同估价结果的差距，说明不同方法的估价结果的合理性。可参考的描述为：</w:t>
      </w:r>
    </w:p>
    <w:p w14:paraId="1E3CBC65" w14:textId="5D7E46DD" w:rsidR="004919CF" w:rsidRDefault="00EC311E"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本次估价选用了市场比较法、基准地价系数修正法、收益法、假设开发</w:t>
      </w:r>
      <w:r>
        <w:rPr>
          <w:rFonts w:ascii="宋体" w:eastAsia="宋体" w:hAnsi="宋体" w:hint="eastAsia"/>
          <w:sz w:val="28"/>
          <w:szCs w:val="28"/>
        </w:rPr>
        <w:lastRenderedPageBreak/>
        <w:t>法、成本逼近法中的两种估价方法××法和××法，结果分别为××元/平方米和××元/平方米，二者差距为××%，未超过4</w:t>
      </w:r>
      <w:r>
        <w:rPr>
          <w:rFonts w:ascii="宋体" w:eastAsia="宋体" w:hAnsi="宋体"/>
          <w:sz w:val="28"/>
          <w:szCs w:val="28"/>
        </w:rPr>
        <w:t>0%</w:t>
      </w:r>
      <w:r>
        <w:rPr>
          <w:rFonts w:ascii="宋体" w:eastAsia="宋体" w:hAnsi="宋体" w:hint="eastAsia"/>
          <w:sz w:val="28"/>
          <w:szCs w:val="28"/>
        </w:rPr>
        <w:t>，符合《城镇土地估价规程》要求，结果可用。两种方法分别从不同角度反映了估价对象的价值，通过算术平均法为平衡不同角度估价结果的结果，能够反映估价对象的客观价值。</w:t>
      </w:r>
    </w:p>
    <w:p w14:paraId="50718465" w14:textId="6B08C451" w:rsidR="00EC311E" w:rsidRDefault="00EC311E"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第十二条 </w:t>
      </w:r>
      <w:r>
        <w:rPr>
          <w:rFonts w:ascii="宋体" w:eastAsia="宋体" w:hAnsi="宋体"/>
          <w:sz w:val="28"/>
          <w:szCs w:val="28"/>
        </w:rPr>
        <w:t xml:space="preserve"> </w:t>
      </w:r>
      <w:r>
        <w:rPr>
          <w:rFonts w:ascii="宋体" w:eastAsia="宋体" w:hAnsi="宋体" w:hint="eastAsia"/>
          <w:sz w:val="28"/>
          <w:szCs w:val="28"/>
        </w:rPr>
        <w:t>估价结果分析结论。应在完成所有的分析后确定分析结论。可参考表述为：</w:t>
      </w:r>
    </w:p>
    <w:p w14:paraId="2506B0F5" w14:textId="27887C2C" w:rsidR="00416C45" w:rsidRPr="004919CF" w:rsidRDefault="00EC311E" w:rsidP="00416C45">
      <w:pPr>
        <w:spacing w:line="520" w:lineRule="exact"/>
        <w:ind w:firstLineChars="200" w:firstLine="560"/>
        <w:rPr>
          <w:rFonts w:ascii="宋体" w:eastAsia="宋体" w:hAnsi="宋体"/>
          <w:sz w:val="28"/>
          <w:szCs w:val="28"/>
        </w:rPr>
      </w:pPr>
      <w:r>
        <w:rPr>
          <w:rFonts w:ascii="宋体" w:eastAsia="宋体" w:hAnsi="宋体" w:hint="eastAsia"/>
          <w:sz w:val="28"/>
          <w:szCs w:val="28"/>
        </w:rPr>
        <w:t>综上分析，估价结果合理。</w:t>
      </w:r>
    </w:p>
    <w:p w14:paraId="6C71908C" w14:textId="4AFE05AE" w:rsidR="00A71D0B" w:rsidRPr="009A4E42" w:rsidRDefault="00416C45">
      <w:pPr>
        <w:spacing w:line="520" w:lineRule="exact"/>
        <w:ind w:firstLineChars="200" w:firstLine="560"/>
        <w:rPr>
          <w:rFonts w:ascii="黑体" w:eastAsia="黑体" w:hAnsi="黑体"/>
          <w:sz w:val="28"/>
          <w:szCs w:val="28"/>
        </w:rPr>
      </w:pPr>
      <w:r w:rsidRPr="009A4E42">
        <w:rPr>
          <w:rFonts w:ascii="黑体" w:eastAsia="黑体" w:hAnsi="黑体" w:hint="eastAsia"/>
          <w:sz w:val="28"/>
          <w:szCs w:val="28"/>
        </w:rPr>
        <w:t xml:space="preserve">第三章 </w:t>
      </w:r>
      <w:r w:rsidRPr="009A4E42">
        <w:rPr>
          <w:rFonts w:ascii="黑体" w:eastAsia="黑体" w:hAnsi="黑体"/>
          <w:sz w:val="28"/>
          <w:szCs w:val="28"/>
        </w:rPr>
        <w:t xml:space="preserve"> </w:t>
      </w:r>
      <w:r w:rsidRPr="009A4E42">
        <w:rPr>
          <w:rFonts w:ascii="黑体" w:eastAsia="黑体" w:hAnsi="黑体" w:hint="eastAsia"/>
          <w:sz w:val="28"/>
          <w:szCs w:val="28"/>
        </w:rPr>
        <w:t>注意事项</w:t>
      </w:r>
    </w:p>
    <w:p w14:paraId="0E2CC4F2" w14:textId="6A322066" w:rsidR="00416C45" w:rsidRDefault="00EC311E">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第十三条 </w:t>
      </w:r>
      <w:r>
        <w:rPr>
          <w:rFonts w:ascii="宋体" w:eastAsia="宋体" w:hAnsi="宋体"/>
          <w:sz w:val="28"/>
          <w:szCs w:val="28"/>
        </w:rPr>
        <w:t xml:space="preserve"> </w:t>
      </w:r>
      <w:r>
        <w:rPr>
          <w:rFonts w:ascii="宋体" w:eastAsia="宋体" w:hAnsi="宋体" w:hint="eastAsia"/>
          <w:sz w:val="28"/>
          <w:szCs w:val="28"/>
        </w:rPr>
        <w:t>估价结果分析为必备实质内容，非形势上的内容。应根据分析路线完成报告技术路线和测算过程审核，包括依据、参数选择及其应用、估价方法、不同估价方法的估价结果自身及其相互之间、与市场之间关系进行全面自审、审核。最终结果应与分析结论对应。</w:t>
      </w:r>
    </w:p>
    <w:p w14:paraId="2011D7CD" w14:textId="675B04EF" w:rsidR="00D26848" w:rsidRPr="00D26848" w:rsidRDefault="00D26848">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 xml:space="preserve">第十四条 </w:t>
      </w:r>
      <w:r>
        <w:rPr>
          <w:rFonts w:ascii="宋体" w:eastAsia="宋体" w:hAnsi="宋体"/>
          <w:sz w:val="28"/>
          <w:szCs w:val="28"/>
        </w:rPr>
        <w:t xml:space="preserve"> </w:t>
      </w:r>
      <w:r>
        <w:rPr>
          <w:rFonts w:ascii="宋体" w:eastAsia="宋体" w:hAnsi="宋体" w:hint="eastAsia"/>
          <w:sz w:val="28"/>
          <w:szCs w:val="28"/>
        </w:rPr>
        <w:t>房地产估价参照土地估价进行估价结果分析，至少包括技术路线的合理性、估价方法的适宜性、过程的规范性、依据的完整性、参数的合理性、与市场的温和型以及不同方法之间的互相验证性几个方面。</w:t>
      </w:r>
    </w:p>
    <w:p w14:paraId="2D466C06" w14:textId="6F1AEA4C" w:rsidR="00416C45" w:rsidRPr="009A4E42" w:rsidRDefault="00416C45">
      <w:pPr>
        <w:spacing w:line="520" w:lineRule="exact"/>
        <w:ind w:firstLineChars="200" w:firstLine="560"/>
        <w:rPr>
          <w:rFonts w:ascii="黑体" w:eastAsia="黑体" w:hAnsi="黑体"/>
          <w:sz w:val="28"/>
          <w:szCs w:val="28"/>
        </w:rPr>
      </w:pPr>
      <w:r w:rsidRPr="009A4E42">
        <w:rPr>
          <w:rFonts w:ascii="黑体" w:eastAsia="黑体" w:hAnsi="黑体" w:hint="eastAsia"/>
          <w:sz w:val="28"/>
          <w:szCs w:val="28"/>
        </w:rPr>
        <w:t xml:space="preserve">第五章 </w:t>
      </w:r>
      <w:r w:rsidRPr="009A4E42">
        <w:rPr>
          <w:rFonts w:ascii="黑体" w:eastAsia="黑体" w:hAnsi="黑体"/>
          <w:sz w:val="28"/>
          <w:szCs w:val="28"/>
        </w:rPr>
        <w:t xml:space="preserve"> </w:t>
      </w:r>
      <w:r w:rsidRPr="009A4E42">
        <w:rPr>
          <w:rFonts w:ascii="黑体" w:eastAsia="黑体" w:hAnsi="黑体" w:hint="eastAsia"/>
          <w:sz w:val="28"/>
          <w:szCs w:val="28"/>
        </w:rPr>
        <w:t>附则</w:t>
      </w:r>
    </w:p>
    <w:p w14:paraId="299B1E3E" w14:textId="2461EB21" w:rsidR="00416C45" w:rsidRDefault="00EC311E">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第十四条 </w:t>
      </w:r>
      <w:r>
        <w:rPr>
          <w:rFonts w:ascii="宋体" w:eastAsia="宋体" w:hAnsi="宋体"/>
          <w:sz w:val="28"/>
          <w:szCs w:val="28"/>
        </w:rPr>
        <w:t xml:space="preserve"> </w:t>
      </w:r>
      <w:r>
        <w:rPr>
          <w:rFonts w:ascii="宋体" w:eastAsia="宋体" w:hAnsi="宋体" w:hint="eastAsia"/>
          <w:sz w:val="28"/>
          <w:szCs w:val="28"/>
        </w:rPr>
        <w:t>本规则自下发之日起执行。</w:t>
      </w:r>
    </w:p>
    <w:sectPr w:rsidR="00416C45">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C62FE5"/>
    <w:multiLevelType w:val="hybridMultilevel"/>
    <w:tmpl w:val="4D1A74A2"/>
    <w:lvl w:ilvl="0" w:tplc="E2BE3D26">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1A707A93"/>
    <w:multiLevelType w:val="hybridMultilevel"/>
    <w:tmpl w:val="AB684534"/>
    <w:lvl w:ilvl="0" w:tplc="A1E8B992">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1C824C8C"/>
    <w:multiLevelType w:val="hybridMultilevel"/>
    <w:tmpl w:val="67EC4272"/>
    <w:lvl w:ilvl="0" w:tplc="8ED63674">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2B337C40"/>
    <w:multiLevelType w:val="hybridMultilevel"/>
    <w:tmpl w:val="520A9896"/>
    <w:lvl w:ilvl="0" w:tplc="E90AA44A">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1EE"/>
    <w:rsid w:val="0003617D"/>
    <w:rsid w:val="000D1E6C"/>
    <w:rsid w:val="001B6FDA"/>
    <w:rsid w:val="003F0547"/>
    <w:rsid w:val="00416C45"/>
    <w:rsid w:val="00462270"/>
    <w:rsid w:val="004919CF"/>
    <w:rsid w:val="004B1CC8"/>
    <w:rsid w:val="004D74AF"/>
    <w:rsid w:val="00566CF9"/>
    <w:rsid w:val="006E21EE"/>
    <w:rsid w:val="0075345F"/>
    <w:rsid w:val="0080767C"/>
    <w:rsid w:val="009660DB"/>
    <w:rsid w:val="009A4E42"/>
    <w:rsid w:val="00A71D0B"/>
    <w:rsid w:val="00AC7C5E"/>
    <w:rsid w:val="00B04F83"/>
    <w:rsid w:val="00B12784"/>
    <w:rsid w:val="00D26848"/>
    <w:rsid w:val="00E530DD"/>
    <w:rsid w:val="00EC311E"/>
    <w:rsid w:val="00EE50EB"/>
    <w:rsid w:val="00F15C2F"/>
    <w:rsid w:val="219B4FCF"/>
    <w:rsid w:val="29285219"/>
    <w:rsid w:val="5A404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C8E28DE"/>
  <w15:docId w15:val="{5510727D-4105-0141-BBD1-73E9C2C32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4</Pages>
  <Words>350</Words>
  <Characters>1996</Characters>
  <Application>Microsoft Office Word</Application>
  <DocSecurity>0</DocSecurity>
  <Lines>16</Lines>
  <Paragraphs>4</Paragraphs>
  <ScaleCrop>false</ScaleCrop>
  <Company/>
  <LinksUpToDate>false</LinksUpToDate>
  <CharactersWithSpaces>2342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Xuefa</dc:creator>
  <cp:lastModifiedBy>Wang Xuefa</cp:lastModifiedBy>
  <cp:revision>8</cp:revision>
  <dcterms:created xsi:type="dcterms:W3CDTF">2021-01-30T04:41:00Z</dcterms:created>
  <dcterms:modified xsi:type="dcterms:W3CDTF">2021-02-02T00:09:00Z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