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EF05E" w14:textId="77777777" w:rsidR="00F21863" w:rsidRPr="00F21863" w:rsidRDefault="00F21863" w:rsidP="00F21863">
      <w:pPr>
        <w:widowControl/>
        <w:shd w:val="clear" w:color="auto" w:fill="FFFFFF"/>
        <w:spacing w:line="750" w:lineRule="atLeast"/>
        <w:jc w:val="center"/>
        <w:rPr>
          <w:rFonts w:ascii="黑体" w:eastAsia="黑体" w:hAnsi="黑体" w:cs="宋体"/>
          <w:color w:val="2097F1"/>
          <w:spacing w:val="30"/>
          <w:kern w:val="0"/>
          <w:sz w:val="39"/>
          <w:szCs w:val="39"/>
        </w:rPr>
      </w:pPr>
      <w:r w:rsidRPr="00F21863">
        <w:rPr>
          <w:rFonts w:ascii="黑体" w:eastAsia="黑体" w:hAnsi="黑体" w:cs="宋体" w:hint="eastAsia"/>
          <w:color w:val="2097F1"/>
          <w:spacing w:val="30"/>
          <w:kern w:val="0"/>
          <w:sz w:val="39"/>
          <w:szCs w:val="39"/>
        </w:rPr>
        <w:t>国有土地上房屋征收评估办法</w:t>
      </w:r>
    </w:p>
    <w:p w14:paraId="56833FE0" w14:textId="5DAD2AC4" w:rsidR="00F21863" w:rsidRPr="00F21863" w:rsidRDefault="00F21863" w:rsidP="00F21863">
      <w:pPr>
        <w:widowControl/>
        <w:shd w:val="clear" w:color="auto" w:fill="FFFFFF"/>
        <w:spacing w:after="300" w:line="555" w:lineRule="atLeast"/>
        <w:ind w:firstLine="555"/>
        <w:jc w:val="center"/>
        <w:rPr>
          <w:rFonts w:ascii="微软雅黑" w:eastAsia="微软雅黑" w:hAnsi="微软雅黑" w:cs="宋体" w:hint="eastAsia"/>
          <w:color w:val="333333"/>
          <w:kern w:val="0"/>
          <w:szCs w:val="21"/>
        </w:rPr>
      </w:pPr>
      <w:r w:rsidRPr="00F21863">
        <w:rPr>
          <w:rFonts w:ascii="宋体" w:eastAsia="宋体" w:hAnsi="宋体" w:cs="宋体" w:hint="eastAsia"/>
          <w:b/>
          <w:bCs/>
          <w:color w:val="333333"/>
          <w:kern w:val="0"/>
          <w:sz w:val="29"/>
          <w:szCs w:val="29"/>
        </w:rPr>
        <w:t>（建房</w:t>
      </w:r>
      <w:r w:rsidRPr="00F21863">
        <w:rPr>
          <w:rFonts w:ascii="微软雅黑" w:eastAsia="微软雅黑" w:hAnsi="微软雅黑" w:cs="宋体" w:hint="eastAsia"/>
          <w:b/>
          <w:bCs/>
          <w:color w:val="333333"/>
          <w:kern w:val="0"/>
          <w:sz w:val="29"/>
          <w:szCs w:val="29"/>
        </w:rPr>
        <w:t>[2011]77号）</w:t>
      </w:r>
    </w:p>
    <w:p w14:paraId="0436509E"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各省、自治区住房城乡建设厅，直辖市住房城乡建设委员会（房地局），新疆生产建设兵团建设局：</w:t>
      </w:r>
    </w:p>
    <w:p w14:paraId="32BF6184"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根据《国有土地上房屋征收与补偿条例》，我部制定了《国有土地上房屋征收评估办法》。现印发给你们，请遵照执行。</w:t>
      </w:r>
    </w:p>
    <w:p w14:paraId="730CCD8E"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附件：国有土地上房屋征收评估办法</w:t>
      </w:r>
    </w:p>
    <w:p w14:paraId="4D36C12A" w14:textId="77777777" w:rsidR="00F21863" w:rsidRPr="00F21863" w:rsidRDefault="00F21863" w:rsidP="00F21863">
      <w:pPr>
        <w:widowControl/>
        <w:shd w:val="clear" w:color="auto" w:fill="FFFFFF"/>
        <w:spacing w:before="300" w:after="300" w:line="555" w:lineRule="atLeast"/>
        <w:ind w:firstLine="645"/>
        <w:jc w:val="right"/>
        <w:rPr>
          <w:rFonts w:ascii="微软雅黑" w:eastAsia="微软雅黑" w:hAnsi="微软雅黑" w:cs="宋体" w:hint="eastAsia"/>
          <w:color w:val="333333"/>
          <w:kern w:val="0"/>
          <w:szCs w:val="21"/>
        </w:rPr>
      </w:pPr>
      <w:r w:rsidRPr="00F21863">
        <w:rPr>
          <w:rFonts w:ascii="Calibri" w:eastAsia="仿宋" w:hAnsi="Calibri" w:cs="Calibri"/>
          <w:color w:val="333333"/>
          <w:kern w:val="0"/>
          <w:sz w:val="32"/>
          <w:szCs w:val="32"/>
        </w:rPr>
        <w:t> </w:t>
      </w:r>
    </w:p>
    <w:p w14:paraId="489D3668" w14:textId="77777777" w:rsidR="00F21863" w:rsidRPr="00F21863" w:rsidRDefault="00F21863" w:rsidP="00F21863">
      <w:pPr>
        <w:widowControl/>
        <w:shd w:val="clear" w:color="auto" w:fill="FFFFFF"/>
        <w:spacing w:before="300" w:after="300" w:line="555" w:lineRule="atLeast"/>
        <w:ind w:firstLine="645"/>
        <w:jc w:val="right"/>
        <w:rPr>
          <w:rFonts w:ascii="微软雅黑" w:eastAsia="微软雅黑" w:hAnsi="微软雅黑" w:cs="宋体" w:hint="eastAsia"/>
          <w:color w:val="333333"/>
          <w:kern w:val="0"/>
          <w:szCs w:val="21"/>
        </w:rPr>
      </w:pPr>
      <w:r w:rsidRPr="00F21863">
        <w:rPr>
          <w:rFonts w:ascii="Calibri" w:eastAsia="仿宋" w:hAnsi="Calibri" w:cs="Calibri"/>
          <w:color w:val="333333"/>
          <w:kern w:val="0"/>
          <w:sz w:val="32"/>
          <w:szCs w:val="32"/>
        </w:rPr>
        <w:t> </w:t>
      </w:r>
    </w:p>
    <w:p w14:paraId="523D1EEE" w14:textId="77777777" w:rsidR="00F21863" w:rsidRPr="00F21863" w:rsidRDefault="00F21863" w:rsidP="00F21863">
      <w:pPr>
        <w:widowControl/>
        <w:shd w:val="clear" w:color="auto" w:fill="FFFFFF"/>
        <w:spacing w:before="300" w:after="300" w:line="555" w:lineRule="atLeast"/>
        <w:ind w:firstLine="645"/>
        <w:jc w:val="righ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中华人民共和国住房和城乡建设部</w:t>
      </w:r>
    </w:p>
    <w:p w14:paraId="0DD86090" w14:textId="77777777" w:rsidR="00F21863" w:rsidRPr="00F21863" w:rsidRDefault="00F21863" w:rsidP="00F21863">
      <w:pPr>
        <w:widowControl/>
        <w:shd w:val="clear" w:color="auto" w:fill="FFFFFF"/>
        <w:spacing w:before="300" w:after="300" w:line="555" w:lineRule="atLeast"/>
        <w:ind w:firstLine="645"/>
        <w:jc w:val="righ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二〇一一年六月三日</w:t>
      </w:r>
    </w:p>
    <w:p w14:paraId="40FD2E75"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Calibri" w:eastAsia="仿宋" w:hAnsi="Calibri" w:cs="Calibri"/>
          <w:color w:val="333333"/>
          <w:kern w:val="0"/>
          <w:sz w:val="32"/>
          <w:szCs w:val="32"/>
        </w:rPr>
        <w:t> </w:t>
      </w:r>
    </w:p>
    <w:p w14:paraId="4BEC168B"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Calibri" w:eastAsia="仿宋" w:hAnsi="Calibri" w:cs="Calibri"/>
          <w:color w:val="333333"/>
          <w:kern w:val="0"/>
          <w:sz w:val="32"/>
          <w:szCs w:val="32"/>
        </w:rPr>
        <w:t> </w:t>
      </w:r>
    </w:p>
    <w:p w14:paraId="3B29BCBF"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Calibri" w:eastAsia="仿宋" w:hAnsi="Calibri" w:cs="Calibri"/>
          <w:color w:val="333333"/>
          <w:kern w:val="0"/>
          <w:sz w:val="32"/>
          <w:szCs w:val="32"/>
        </w:rPr>
        <w:t> </w:t>
      </w:r>
    </w:p>
    <w:p w14:paraId="4B3AB497" w14:textId="7324E479" w:rsidR="00F21863" w:rsidRDefault="00F21863" w:rsidP="00F21863">
      <w:pPr>
        <w:widowControl/>
        <w:shd w:val="clear" w:color="auto" w:fill="FFFFFF"/>
        <w:spacing w:before="300" w:after="300" w:line="555" w:lineRule="atLeast"/>
        <w:ind w:firstLine="645"/>
        <w:jc w:val="left"/>
        <w:rPr>
          <w:rFonts w:ascii="Calibri" w:eastAsia="仿宋" w:hAnsi="Calibri" w:cs="Calibri"/>
          <w:color w:val="333333"/>
          <w:kern w:val="0"/>
          <w:sz w:val="32"/>
          <w:szCs w:val="32"/>
        </w:rPr>
      </w:pPr>
      <w:r w:rsidRPr="00F21863">
        <w:rPr>
          <w:rFonts w:ascii="Calibri" w:eastAsia="仿宋" w:hAnsi="Calibri" w:cs="Calibri"/>
          <w:color w:val="333333"/>
          <w:kern w:val="0"/>
          <w:sz w:val="32"/>
          <w:szCs w:val="32"/>
        </w:rPr>
        <w:t> </w:t>
      </w:r>
    </w:p>
    <w:p w14:paraId="695DEC1E"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p>
    <w:p w14:paraId="262EF074"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lastRenderedPageBreak/>
        <w:t>附件：</w:t>
      </w:r>
    </w:p>
    <w:p w14:paraId="71CB65AF"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国有土地上房屋征收评估办法</w:t>
      </w:r>
    </w:p>
    <w:p w14:paraId="2308D8B9"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第一条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为规范国有土地上房屋征收评估活动，保证房屋征收评估结果客观公平，根据《国有土地上房屋征收与补偿条例》，制定本办法。</w:t>
      </w:r>
    </w:p>
    <w:p w14:paraId="256EE549"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第二条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评估国有土地上被征收房屋和用于产权调换房屋的价值，测算被征收房屋类似房地产的市场价格，以及对相关评估结果进行复核评估和鉴定，适用本办法。</w:t>
      </w:r>
    </w:p>
    <w:p w14:paraId="2A5EDE37"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第三条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房地产价格评估机构、房地产估价师、房地产价格评估专家委员会（以下称评估专家委员会）成员应当独立、客观、公正地开展房屋征收评估、鉴定工作，并对出具的评估、鉴定意见负责。</w:t>
      </w:r>
    </w:p>
    <w:p w14:paraId="147F9C68"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任何单位和个人不得干预房屋征收评估、鉴定活动。与房屋征收当事人有利害关系的，应当回避。</w:t>
      </w:r>
    </w:p>
    <w:p w14:paraId="7E9FECA3"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第四条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地产价格评估机构由被征收人在规定时间内协商选定；在规定时间内协商不成的，由房屋征收部门通过组织被征收人按照少数服从多数的原则投票决定，或者采取摇号、抽签等随机方式确定。具体办法由省、自治区、直辖市制定。</w:t>
      </w:r>
    </w:p>
    <w:p w14:paraId="58462585"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lastRenderedPageBreak/>
        <w:t>房地产价格评估机构不得采取迎合征收当事人不当要求、虚假宣传、恶意低收费等不正当手段承揽房屋征收评估业务。</w:t>
      </w:r>
    </w:p>
    <w:p w14:paraId="161A4658"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第五条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同一征收项目的房屋征收评估工作，原则上由一家房地产价格评估机构承担。房屋征收范围较大的，可以由两家以上房地产价格评估机构共同承担。</w:t>
      </w:r>
    </w:p>
    <w:p w14:paraId="09096E72"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两家以上房地产价格评估机构承担的，应当共同协商确定一家房地产价格评估机构为牵头单位；牵头单位应当组织相关房地产价格评估机构就评估对象、评估时点、价值内涵、评估依据、评估假设、评估原则、评估技术路线、评估方法、重要参数选取、评估结果确定方式等进行沟通，统一标准。</w:t>
      </w:r>
    </w:p>
    <w:p w14:paraId="49DEC209"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第六条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房地产价格评估机构选定或者确定后，一般由房屋征收部门作为委托人，向房地产价格评估机构出具房屋征收评估委托书，并与其签订房屋征收评估委托合同。</w:t>
      </w:r>
    </w:p>
    <w:p w14:paraId="01C6BD13"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房屋征收评估委托书应当载明委托人的名称、委托的房地产价格评估机构的名称、评估目的、评估对象范围、评估要求以及委托日期等内容。</w:t>
      </w:r>
    </w:p>
    <w:p w14:paraId="4050214C"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房屋征收评估委托合同应当载明下列事项：</w:t>
      </w:r>
    </w:p>
    <w:p w14:paraId="5D1A3E92"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（一）委托人和房地产价格评估机构的基本情况；</w:t>
      </w:r>
    </w:p>
    <w:p w14:paraId="52DF4F57"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（二）负责本评估项目的注册房地产估价师；</w:t>
      </w:r>
    </w:p>
    <w:p w14:paraId="5BF39073"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lastRenderedPageBreak/>
        <w:t>（三）评估目的、评估对象、评估时点等评估基本事项；</w:t>
      </w:r>
    </w:p>
    <w:p w14:paraId="29F96F6F"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（四）委托人应提供的评估所需资料；</w:t>
      </w:r>
    </w:p>
    <w:p w14:paraId="6134BF20"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（五）评估过程中双方的权利和义务；</w:t>
      </w:r>
    </w:p>
    <w:p w14:paraId="3F952B9B"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（六）评估费用及收取方式；</w:t>
      </w:r>
    </w:p>
    <w:p w14:paraId="58B6B23F"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（七）评估报告交付时间、方式；</w:t>
      </w:r>
    </w:p>
    <w:p w14:paraId="73E10C07"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（八）违约责任；</w:t>
      </w:r>
    </w:p>
    <w:p w14:paraId="1B974D06"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（九）解决争议的方法；</w:t>
      </w:r>
    </w:p>
    <w:p w14:paraId="1672A8FD"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（十）其他需要载明的事项。</w:t>
      </w:r>
    </w:p>
    <w:p w14:paraId="47C9A22A"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第七条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房地产价格评估机构应当指派与房屋征收评估项目工作量相适应的足够数量的注册房地产估价师开展评估工作。</w:t>
      </w:r>
    </w:p>
    <w:p w14:paraId="1D5EFE33"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房地产价格评估机构不得转让或者变相转让受托的房屋征收评估业务。</w:t>
      </w:r>
    </w:p>
    <w:p w14:paraId="604AB54E"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第八条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被征收房屋价值评估目的应当表述为“为房屋征收部门与被征收人确定被征收房屋价值的补偿提供依据，评估被征收房屋的价值”。</w:t>
      </w:r>
    </w:p>
    <w:p w14:paraId="2D1A55D1"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用于产权调换房屋价值评估目的应当表述为“为房屋征收部门与被征收人计算被征收房屋价值与用于产权调换</w:t>
      </w:r>
      <w:r w:rsidRPr="00F21863">
        <w:rPr>
          <w:rFonts w:ascii="仿宋" w:eastAsia="仿宋" w:hAnsi="仿宋" w:cs="宋体" w:hint="eastAsia"/>
          <w:color w:val="333333"/>
          <w:kern w:val="0"/>
          <w:sz w:val="32"/>
          <w:szCs w:val="32"/>
        </w:rPr>
        <w:lastRenderedPageBreak/>
        <w:t>房屋价值的差价提供依据，评估用于产权调换房屋的价值”。</w:t>
      </w:r>
    </w:p>
    <w:p w14:paraId="665AFCA7"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第九条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房屋征收评估前，房屋征收部门应当组织有关单位对被征收房屋情况进行调查，明确评估对象。评估对象应当全面、客观，不得遗漏、虚构。</w:t>
      </w:r>
    </w:p>
    <w:p w14:paraId="4B9B88AE"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房屋征收部门应当向受托的房地产价格评估机构提供征收范围内房屋情况，包括已经登记的房屋情况和未经登记建筑的认定、处理结果情况。调查结果应当在房屋征收范围内向被征收人公布。</w:t>
      </w:r>
    </w:p>
    <w:p w14:paraId="28D75846"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对于已经登记的房屋，其性质、用途和建筑面积，一般以房屋权属证书和房屋登记簿的记载为准；房屋权属证书与房屋登记簿的记载不一致的，除有证据证明房屋登记簿确有错误外，以房屋登记簿为准。对于未经登记的建筑，应当按照市、县级人民政府的认定、处理结果进行评估。</w:t>
      </w:r>
    </w:p>
    <w:p w14:paraId="68623FD5"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第十条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被征收房屋价值评估时点为房屋征收决定公告之日。</w:t>
      </w:r>
    </w:p>
    <w:p w14:paraId="1C37B662"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用于产权调换房屋价值评估时点应当与被征收房屋价值评估时点一致。</w:t>
      </w:r>
    </w:p>
    <w:p w14:paraId="205C8593"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第十一条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被征收房屋价值是指被征收房屋及其占用范围内的土地使用权在正常交易情况下，由熟悉情况的交易</w:t>
      </w:r>
      <w:r w:rsidRPr="00F21863">
        <w:rPr>
          <w:rFonts w:ascii="仿宋" w:eastAsia="仿宋" w:hAnsi="仿宋" w:cs="宋体" w:hint="eastAsia"/>
          <w:color w:val="333333"/>
          <w:kern w:val="0"/>
          <w:sz w:val="32"/>
          <w:szCs w:val="32"/>
        </w:rPr>
        <w:lastRenderedPageBreak/>
        <w:t>双方以公平交易方式在评估时点自愿进行交易的金额，但不考虑被征收房屋租赁、抵押、查封等因素的影响。</w:t>
      </w:r>
    </w:p>
    <w:p w14:paraId="187D262E"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前款所述不考虑租赁因素的影响，是指评估被征收房屋无租约限制的价值；不考虑抵押、查封因素的影响，是指评估价值中不扣除被征收房屋已抵押担保的债权数额、拖欠的建设工程价款和其他法定优先受偿款。</w:t>
      </w:r>
    </w:p>
    <w:p w14:paraId="142E7B05"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第十二条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房地产价格评估机构应当安排注册房地产估价师对被征收房屋进行实地查勘，调查被征收房屋状况，拍摄反映被征收房屋内外部状况的照片等影像资料，做好实地查勘记录，并妥善保管。</w:t>
      </w:r>
    </w:p>
    <w:p w14:paraId="56322D28"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被征收人应当协助注册房地产估价师对被征收房屋进行实地查勘，提供或者协助搜集被征收房屋价值评估所必需的情况和资料。</w:t>
      </w:r>
    </w:p>
    <w:p w14:paraId="5DFB362A"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房屋征收部门、被征收人和注册房地产估价师应当在实地查勘记录上签字或者盖章确认。被征收人拒绝在实地查勘记录上签字或者盖章的，应当由房屋征收部门、注册房地产估价师和无利害关系的第三人见证，有关情况应当在评估报告中说明。</w:t>
      </w:r>
    </w:p>
    <w:p w14:paraId="0959D2E9"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第十三条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注册房地产估价师应当根据评估对象和当地房地产市场状况，对市场法、收益法、成本法、假设开发法等评估方法进行适用性分析后，选用其中一种或者多种方法对被征收房屋价值进行评估。</w:t>
      </w:r>
    </w:p>
    <w:p w14:paraId="55FCEC77"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lastRenderedPageBreak/>
        <w:t>被征收房屋的类似房地产有交易的，应当选用市场法评估；被征收房屋或者其类似房地产有经济收益的，应当选用收益法评估；被征收房屋是在建工程的，应当选用假设开发法评估。</w:t>
      </w:r>
    </w:p>
    <w:p w14:paraId="6308776E"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可以同时选用两种以上评估方法评估的，应当选用两种以上评估方法评估，并对各种评估方法的测算结果进行校核和比较分析后，合理确定评估结果。</w:t>
      </w:r>
    </w:p>
    <w:p w14:paraId="56DAADDF"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第十四条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被征收房屋价值评估应当考虑被征收房屋的区位、用途、建筑结构、新旧程度、建筑面积以及占地面积、土地使用权等影响被征收房屋价值的因素。</w:t>
      </w:r>
    </w:p>
    <w:p w14:paraId="1E4D27F8"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被征收房屋室内装饰装修价值，机器设备、物资等搬迁费用，以及停产停业损失等补偿，由征收当事人协商确定；协商不成的，可以委托房地产价格评估机构通过评估确定。</w:t>
      </w:r>
    </w:p>
    <w:p w14:paraId="11031469"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第十五条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房屋征收评估价值应当以人民币为计价的货币单位，精确到元。</w:t>
      </w:r>
    </w:p>
    <w:p w14:paraId="3E32C647"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第十六条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地产价格评估机构应当按照房屋征收评估委托书或者委托合同的约定，向房屋征收部门提供分户的初步评估结果。分户的初步评估结果应当包括评估对象的构成及其基本情况和评估价值。房屋征收部门应当将分户的初步评估结果在征收范围内向被征收人公示。</w:t>
      </w:r>
    </w:p>
    <w:p w14:paraId="3CED6C3B"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lastRenderedPageBreak/>
        <w:t>公示期间，房地产价格评估机构应当安排注册房地产估价师对分户的初步评估结果进行现场说明解释。存在错误的，房地产价格评估机构应当修正。</w:t>
      </w:r>
    </w:p>
    <w:p w14:paraId="7B5DF67C"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第十七条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分户初步评估结果公示期满后，房地产价格评估机构应当向房屋征收部门提供委托评估范围内被征收房屋的整体评估报告和分户评估报告。房屋征收部门应当向被征收人转交分户评估报告。</w:t>
      </w:r>
    </w:p>
    <w:p w14:paraId="5EC5F831"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整体评估报告和分户评估报告应当由负责房屋征收评估项目的两名以上注册房地产估价师签字，并加盖房地产价格评估机构公章。不得以印章代替签字。</w:t>
      </w:r>
    </w:p>
    <w:p w14:paraId="6BCF6775"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第十八条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房屋征收评估业务完成后，房地产价格评估机构应当将评估报告及相关资料立卷、归档保管。</w:t>
      </w:r>
    </w:p>
    <w:p w14:paraId="0EC0F6C8"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第十九条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被征收人或者房屋征收部门对评估报告有疑问的，出具评估报告的房地产价格评估机构应当向其作出解释和说明。</w:t>
      </w:r>
    </w:p>
    <w:p w14:paraId="1BC81320"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第二十条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被征收人或者房屋征收部门对评估结果有异议的，应当自收到评估报告之日起10日内，向房地产价格评估机构申请复核评估。</w:t>
      </w:r>
    </w:p>
    <w:p w14:paraId="65927C81"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申请复核评估的，应当向原房地产价格评估机构提出书面复核评估申请，并指出评估报告存在的问题。</w:t>
      </w:r>
    </w:p>
    <w:p w14:paraId="3FBF3E73"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lastRenderedPageBreak/>
        <w:t>第二十一条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原房地产价格评估机构应当自收到书面复核评估申请之日起10日内对评估结果进行复核。复核后，改变原评估结果的，应当重新出具评估报告；评估结果没有改变的，应当书面告知复核评估申请人。</w:t>
      </w:r>
    </w:p>
    <w:p w14:paraId="26CB9699"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第二十二条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被征收人或者房屋征收部门对原房地产价格评估机构的复核结果有异议的，应当自收到复核结果之日起10日内，向被征收房屋所在地评估专家委员会申请鉴定。被征收人对补偿仍有异议的，按照《国有土地上房屋征收与补偿条例》第二十六条规定处理。</w:t>
      </w:r>
    </w:p>
    <w:p w14:paraId="6B5D36BC"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第二十三条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各省、自治区住房城乡建设主管部门和设区城市的房地产管理部门应当组织成立评估专家委员会，对房地产价格评估机构做出的复核结果进行鉴定。</w:t>
      </w:r>
    </w:p>
    <w:p w14:paraId="7209AB40"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评估专家委员会由房地产估价师以及价格、房地产、土地、城市规划、法律等方面的专家组成。</w:t>
      </w:r>
    </w:p>
    <w:p w14:paraId="77FBB83F"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第二十四条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评估专家委员会应当选派成员组成专家组，对复核结果进行鉴定。专家组成员为3人以上单数，其中房地产估价师不得少于二分之一。</w:t>
      </w:r>
    </w:p>
    <w:p w14:paraId="0ED84EC9"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第二十五条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评估专家委员会应当自收到鉴定申请之日起10日内，对申请鉴定评估报告的评估程序、评估依据、评估假设、评估技术路线、评估方法选用、参数选取、评估结果确定方式等评估技术问题进行审核，出具书面鉴定意见。</w:t>
      </w:r>
    </w:p>
    <w:p w14:paraId="1B533F47"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lastRenderedPageBreak/>
        <w:t>经评估专家委员会鉴定，评估报告不存在技术问题的，应当维持评估报告；评估报告存在技术问题的，出具评估报告的房地产价格评估机构应当改正错误，重新出具评估报告。</w:t>
      </w:r>
    </w:p>
    <w:p w14:paraId="63AF3A7E"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第二十六条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房屋征收评估鉴定过程中，房地产价格评估机构应当按照评估专家委员会要求，就鉴定涉及的评估相关事宜进行说明。需要对被征收房屋进行实地查勘和调查的，有关单位和个人应当协助。</w:t>
      </w:r>
    </w:p>
    <w:p w14:paraId="5463DA59"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第二十七条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因房屋征收评估、复核评估、鉴定工作需要查询被征收房屋和用于产权调换房屋权属以及相关房地产交易信息的，房地产管理部门及其他相关部门应当提供便利。</w:t>
      </w:r>
    </w:p>
    <w:p w14:paraId="15BC7BB9"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第二十八条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在房屋征收评估过程中，房屋征收部门或者被征收人不配合、不提供相关资料的，房地产价格评估机构应当在评估报告中说明有关情况。</w:t>
      </w:r>
    </w:p>
    <w:p w14:paraId="7AE3378E"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第二十九条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除政府对用于产权调换房屋价格有特别规定外，应当以评估方式确定用于产权调换房屋的市场价值。</w:t>
      </w:r>
    </w:p>
    <w:p w14:paraId="79D72A22"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第三十条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被征收房屋的类似房地产是指与被征收房屋的区位、用途、权利性质、档次、新旧程度、规模、建筑结构等相同或者相似的房地产。</w:t>
      </w:r>
    </w:p>
    <w:p w14:paraId="4E785BC1"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lastRenderedPageBreak/>
        <w:t>被征收房屋类似房地产的市场价格是指被征收房屋的类似房地产在评估时点的平均交易价格。确定被征收房屋类似房地产的市场价格，应当剔除偶然的和不正常的因素。</w:t>
      </w:r>
    </w:p>
    <w:p w14:paraId="7A64C943"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第三十一条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房屋征收评估、鉴定费用由委托人承担。但鉴定改变原评估结果的，鉴定费用由原房地产价格评估机构承担。复核评估费用由原房地产价格评估机构承担。房屋征收评估、鉴定费用按照政府价格主管部门规定的收费标准执行。</w:t>
      </w:r>
    </w:p>
    <w:p w14:paraId="0789FA7E" w14:textId="77777777" w:rsidR="00F21863" w:rsidRPr="00F21863" w:rsidRDefault="00F21863" w:rsidP="00F21863">
      <w:pPr>
        <w:widowControl/>
        <w:shd w:val="clear" w:color="auto" w:fill="FFFFFF"/>
        <w:spacing w:before="300" w:after="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第三十二条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在房屋征收评估活动中，房地产价格评估机构和房地产估价师的违法违规行为，按照《国有土地上房屋征收与补偿条例》、《房地产估价机构管理办法》、《注册房地产估价师管理办法》等规定处罚。违反规定收费的，由政府价格主管部门依照《中华人民共和国价格法》规定处罚。</w:t>
      </w:r>
    </w:p>
    <w:p w14:paraId="535B5DA8" w14:textId="77777777" w:rsidR="00F21863" w:rsidRPr="00F21863" w:rsidRDefault="00F21863" w:rsidP="00F21863">
      <w:pPr>
        <w:widowControl/>
        <w:shd w:val="clear" w:color="auto" w:fill="FFFFFF"/>
        <w:spacing w:before="300" w:line="555" w:lineRule="atLeast"/>
        <w:ind w:firstLine="645"/>
        <w:jc w:val="left"/>
        <w:rPr>
          <w:rFonts w:ascii="微软雅黑" w:eastAsia="微软雅黑" w:hAnsi="微软雅黑" w:cs="宋体" w:hint="eastAsia"/>
          <w:color w:val="333333"/>
          <w:kern w:val="0"/>
          <w:szCs w:val="21"/>
        </w:rPr>
      </w:pPr>
      <w:r w:rsidRPr="00F21863">
        <w:rPr>
          <w:rFonts w:ascii="仿宋" w:eastAsia="仿宋" w:hAnsi="仿宋" w:cs="宋体" w:hint="eastAsia"/>
          <w:color w:val="333333"/>
          <w:kern w:val="0"/>
          <w:sz w:val="32"/>
          <w:szCs w:val="32"/>
        </w:rPr>
        <w:t>第三十三条</w:t>
      </w:r>
      <w:r w:rsidRPr="00F21863">
        <w:rPr>
          <w:rFonts w:ascii="Calibri" w:eastAsia="仿宋" w:hAnsi="Calibri" w:cs="Calibri"/>
          <w:color w:val="333333"/>
          <w:kern w:val="0"/>
          <w:sz w:val="32"/>
          <w:szCs w:val="32"/>
        </w:rPr>
        <w:t> </w:t>
      </w:r>
      <w:r w:rsidRPr="00F21863">
        <w:rPr>
          <w:rFonts w:ascii="仿宋" w:eastAsia="仿宋" w:hAnsi="仿宋" w:cs="宋体" w:hint="eastAsia"/>
          <w:color w:val="333333"/>
          <w:kern w:val="0"/>
          <w:sz w:val="32"/>
          <w:szCs w:val="32"/>
        </w:rPr>
        <w:t>本办法自公布之日起施行。2003年12月1日原建设部发布的《城市房屋拆迁估价指导意见》同时废止。但《国有土地上房屋征收与补偿条例》施行前已依法取得房屋拆迁许可证的项目，继续沿用原有规定。</w:t>
      </w:r>
    </w:p>
    <w:p w14:paraId="4A35C51A" w14:textId="77777777" w:rsidR="008B7DA4" w:rsidRPr="00F21863" w:rsidRDefault="008B7DA4"/>
    <w:sectPr w:rsidR="008B7DA4" w:rsidRPr="00F21863" w:rsidSect="00E472C5">
      <w:pgSz w:w="11907" w:h="16839"/>
      <w:pgMar w:top="1440" w:right="1800" w:bottom="1440" w:left="1800" w:header="851" w:footer="992" w:gutter="0"/>
      <w:cols w:space="42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863"/>
    <w:rsid w:val="00144AA9"/>
    <w:rsid w:val="007130CF"/>
    <w:rsid w:val="008B7DA4"/>
    <w:rsid w:val="00E472C5"/>
    <w:rsid w:val="00F21863"/>
    <w:rsid w:val="00FA5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09CB641"/>
  <w15:chartTrackingRefBased/>
  <w15:docId w15:val="{207C4793-C306-DC47-99DC-3C7A6263B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21863"/>
  </w:style>
  <w:style w:type="paragraph" w:styleId="a3">
    <w:name w:val="Normal (Web)"/>
    <w:basedOn w:val="a"/>
    <w:uiPriority w:val="99"/>
    <w:semiHidden/>
    <w:unhideWhenUsed/>
    <w:rsid w:val="00F21863"/>
    <w:pPr>
      <w:widowControl/>
      <w:spacing w:before="100" w:beforeAutospacing="1" w:after="100" w:afterAutospacing="1"/>
      <w:jc w:val="left"/>
    </w:pPr>
    <w:rPr>
      <w:rFonts w:ascii="宋体" w:eastAsia="宋体" w:hAnsi="宋体" w:cs="宋体"/>
      <w:kern w:val="0"/>
      <w:sz w:val="24"/>
    </w:rPr>
  </w:style>
  <w:style w:type="character" w:styleId="a4">
    <w:name w:val="Strong"/>
    <w:basedOn w:val="a0"/>
    <w:uiPriority w:val="22"/>
    <w:qFormat/>
    <w:rsid w:val="00F218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5971523">
      <w:bodyDiv w:val="1"/>
      <w:marLeft w:val="0"/>
      <w:marRight w:val="0"/>
      <w:marTop w:val="0"/>
      <w:marBottom w:val="0"/>
      <w:divBdr>
        <w:top w:val="none" w:sz="0" w:space="0" w:color="auto"/>
        <w:left w:val="none" w:sz="0" w:space="0" w:color="auto"/>
        <w:bottom w:val="none" w:sz="0" w:space="0" w:color="auto"/>
        <w:right w:val="none" w:sz="0" w:space="0" w:color="auto"/>
      </w:divBdr>
      <w:divsChild>
        <w:div w:id="163521422">
          <w:marLeft w:val="0"/>
          <w:marRight w:val="0"/>
          <w:marTop w:val="0"/>
          <w:marBottom w:val="0"/>
          <w:divBdr>
            <w:top w:val="none" w:sz="0" w:space="0" w:color="auto"/>
            <w:left w:val="none" w:sz="0" w:space="0" w:color="auto"/>
            <w:bottom w:val="dashed" w:sz="6" w:space="0" w:color="DEDEDE"/>
            <w:right w:val="none" w:sz="0" w:space="0" w:color="auto"/>
          </w:divBdr>
        </w:div>
        <w:div w:id="8679194">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668</Words>
  <Characters>3812</Characters>
  <Application>Microsoft Office Word</Application>
  <DocSecurity>0</DocSecurity>
  <Lines>31</Lines>
  <Paragraphs>8</Paragraphs>
  <ScaleCrop>false</ScaleCrop>
  <Company/>
  <LinksUpToDate>false</LinksUpToDate>
  <CharactersWithSpaces>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3</cp:revision>
  <dcterms:created xsi:type="dcterms:W3CDTF">2022-07-03T11:36:00Z</dcterms:created>
  <dcterms:modified xsi:type="dcterms:W3CDTF">2022-07-03T11:37:00Z</dcterms:modified>
</cp:coreProperties>
</file>